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4A47BC40" w14:textId="77777777" w:rsidR="0025616E" w:rsidRPr="009546E7" w:rsidRDefault="0025616E" w:rsidP="0025616E">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3D0DB18D" w14:textId="77777777" w:rsidR="0025616E" w:rsidRPr="009546E7" w:rsidRDefault="0025616E" w:rsidP="0025616E">
      <w:pPr>
        <w:spacing w:after="0"/>
        <w:jc w:val="both"/>
        <w:rPr>
          <w:sz w:val="20"/>
          <w:szCs w:val="20"/>
        </w:rPr>
      </w:pPr>
    </w:p>
    <w:p w14:paraId="2E53D031" w14:textId="72D99B64" w:rsidR="00453A66" w:rsidRDefault="0025616E" w:rsidP="0025616E">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6341852E" w:rsidR="00E60F03" w:rsidRPr="009546E7" w:rsidRDefault="00B965FD" w:rsidP="00E60F03">
      <w:pPr>
        <w:pStyle w:val="Prrafodelista"/>
        <w:spacing w:after="0"/>
        <w:ind w:left="360"/>
        <w:rPr>
          <w:sz w:val="20"/>
          <w:szCs w:val="20"/>
        </w:rPr>
      </w:pPr>
      <w:r w:rsidRPr="00B965FD">
        <w:rPr>
          <w:sz w:val="20"/>
          <w:szCs w:val="20"/>
        </w:rPr>
        <w:t>Tasa de sobrecobertura a nivel unidad de observación.</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C0D19E6" w:rsidR="00E60F03" w:rsidRDefault="00E60F03" w:rsidP="007B774C">
      <w:pPr>
        <w:pStyle w:val="Prrafodelista"/>
        <w:spacing w:after="0"/>
        <w:ind w:left="360"/>
        <w:jc w:val="both"/>
        <w:rPr>
          <w:sz w:val="20"/>
          <w:szCs w:val="20"/>
        </w:rPr>
      </w:pPr>
      <w:r w:rsidRPr="00E60F03">
        <w:rPr>
          <w:sz w:val="20"/>
          <w:szCs w:val="20"/>
        </w:rPr>
        <w:t>Acuerdo CAC- 00</w:t>
      </w:r>
      <w:r w:rsidR="006462C4">
        <w:rPr>
          <w:sz w:val="20"/>
          <w:szCs w:val="20"/>
        </w:rPr>
        <w:t>6</w:t>
      </w:r>
      <w:r w:rsidRPr="00E60F03">
        <w:rPr>
          <w:sz w:val="20"/>
          <w:szCs w:val="20"/>
        </w:rPr>
        <w:t>/0</w:t>
      </w:r>
      <w:r w:rsidR="006462C4">
        <w:rPr>
          <w:sz w:val="20"/>
          <w:szCs w:val="20"/>
        </w:rPr>
        <w:t>2</w:t>
      </w:r>
      <w:r w:rsidRPr="00E60F03">
        <w:rPr>
          <w:sz w:val="20"/>
          <w:szCs w:val="20"/>
        </w:rPr>
        <w:t>/201</w:t>
      </w:r>
      <w:r w:rsidR="006462C4">
        <w:rPr>
          <w:sz w:val="20"/>
          <w:szCs w:val="20"/>
        </w:rPr>
        <w:t>8</w:t>
      </w:r>
      <w:r w:rsidRPr="00E60F03">
        <w:rPr>
          <w:sz w:val="20"/>
          <w:szCs w:val="20"/>
        </w:rPr>
        <w:t xml:space="preserve"> en la </w:t>
      </w:r>
      <w:r w:rsidR="006462C4">
        <w:rPr>
          <w:sz w:val="20"/>
          <w:szCs w:val="20"/>
        </w:rPr>
        <w:t>segunda</w:t>
      </w:r>
      <w:r w:rsidRPr="00E60F03">
        <w:rPr>
          <w:sz w:val="20"/>
          <w:szCs w:val="20"/>
        </w:rPr>
        <w:t xml:space="preserve"> sesión del 201</w:t>
      </w:r>
      <w:r w:rsidR="006462C4">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25E0C641" w:rsidR="00E60F03" w:rsidRDefault="006462C4" w:rsidP="007976EB">
      <w:pPr>
        <w:pStyle w:val="Prrafodelista"/>
        <w:spacing w:after="0"/>
        <w:ind w:left="360"/>
        <w:jc w:val="both"/>
        <w:rPr>
          <w:sz w:val="20"/>
          <w:szCs w:val="20"/>
        </w:rPr>
      </w:pPr>
      <w:r w:rsidRPr="006462C4">
        <w:rPr>
          <w:sz w:val="20"/>
          <w:szCs w:val="20"/>
        </w:rPr>
        <w:t>Para el caso de pro</w:t>
      </w:r>
      <w:r>
        <w:rPr>
          <w:sz w:val="20"/>
          <w:szCs w:val="20"/>
        </w:rPr>
        <w:t>cesos de producción</w:t>
      </w:r>
      <w:r w:rsidRPr="006462C4">
        <w:rPr>
          <w:sz w:val="20"/>
          <w:szCs w:val="20"/>
        </w:rPr>
        <w:t xml:space="preserve"> con muestreo probabilístico o no probabilístico el cálculo y publicación del indicador será a partir del tercer trimestre de 2018.</w:t>
      </w:r>
    </w:p>
    <w:p w14:paraId="5F714E15" w14:textId="77777777" w:rsidR="002529AB" w:rsidRPr="00E60F03" w:rsidRDefault="002529AB"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3FB07063" w14:textId="77777777" w:rsidR="00B965FD" w:rsidRDefault="00B965FD" w:rsidP="00B965FD">
      <w:pPr>
        <w:pStyle w:val="Prrafodelista"/>
        <w:spacing w:after="0"/>
        <w:ind w:left="360"/>
        <w:jc w:val="both"/>
        <w:rPr>
          <w:sz w:val="20"/>
          <w:szCs w:val="20"/>
        </w:rPr>
      </w:pPr>
      <w:r w:rsidRPr="00B965FD">
        <w:rPr>
          <w:sz w:val="20"/>
          <w:szCs w:val="20"/>
        </w:rPr>
        <w:t>El uso del indicador es combinado. De uso interno puede servir para la identificación de áreas de mejora con respecto a la construcción y mantenimiento del marco de referencia. De uso externo para identificar la calidad de la información en cuanto a su cobertura.</w:t>
      </w:r>
    </w:p>
    <w:p w14:paraId="0CD31B54" w14:textId="77777777" w:rsidR="00B965FD" w:rsidRPr="00B965FD" w:rsidRDefault="00B965FD" w:rsidP="00B965FD">
      <w:pPr>
        <w:pStyle w:val="Prrafodelista"/>
        <w:spacing w:after="0"/>
        <w:ind w:left="360"/>
        <w:jc w:val="both"/>
        <w:rPr>
          <w:sz w:val="20"/>
          <w:szCs w:val="20"/>
        </w:rPr>
      </w:pPr>
    </w:p>
    <w:p w14:paraId="0AA08F63" w14:textId="27F7A627" w:rsidR="009935FA" w:rsidRDefault="00B965FD" w:rsidP="00B965FD">
      <w:pPr>
        <w:pStyle w:val="Prrafodelista"/>
        <w:spacing w:after="0"/>
        <w:ind w:left="360"/>
        <w:jc w:val="both"/>
        <w:rPr>
          <w:b/>
          <w:bCs/>
          <w:sz w:val="20"/>
          <w:szCs w:val="20"/>
        </w:rPr>
      </w:pPr>
      <w:r w:rsidRPr="00B965FD">
        <w:rPr>
          <w:sz w:val="20"/>
          <w:szCs w:val="20"/>
        </w:rPr>
        <w:t xml:space="preserve">Según el tipo de </w:t>
      </w:r>
      <w:r>
        <w:rPr>
          <w:sz w:val="20"/>
          <w:szCs w:val="20"/>
        </w:rPr>
        <w:t>proceso de producción</w:t>
      </w:r>
      <w:r w:rsidRPr="00B965FD">
        <w:rPr>
          <w:sz w:val="20"/>
          <w:szCs w:val="20"/>
        </w:rPr>
        <w:t xml:space="preserve"> y unidad administrativa, se determinará su uso externo o interno para todos los dominios de estudio.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6D25D32E" w14:textId="0E2DA65A" w:rsidR="007976EB" w:rsidRDefault="007976EB" w:rsidP="004C7FA7">
      <w:pPr>
        <w:pStyle w:val="Prrafodelista"/>
        <w:numPr>
          <w:ilvl w:val="0"/>
          <w:numId w:val="10"/>
        </w:numPr>
        <w:spacing w:after="0"/>
        <w:ind w:left="709"/>
        <w:rPr>
          <w:sz w:val="20"/>
          <w:szCs w:val="20"/>
        </w:rPr>
      </w:pPr>
      <w:r>
        <w:rPr>
          <w:sz w:val="20"/>
          <w:szCs w:val="20"/>
        </w:rPr>
        <w:t xml:space="preserve">Eurostat. </w:t>
      </w:r>
      <w:r w:rsidRPr="007976EB">
        <w:rPr>
          <w:sz w:val="20"/>
          <w:szCs w:val="20"/>
        </w:rPr>
        <w:t>ESS handbook for quality reports. 2014.</w:t>
      </w:r>
      <w:r w:rsidR="00D6329B">
        <w:rPr>
          <w:sz w:val="20"/>
          <w:szCs w:val="20"/>
        </w:rPr>
        <w:t xml:space="preserve"> Página</w:t>
      </w:r>
      <w:r w:rsidR="00B965FD">
        <w:rPr>
          <w:sz w:val="20"/>
          <w:szCs w:val="20"/>
        </w:rPr>
        <w:t>s 42-47 y 122-123</w:t>
      </w:r>
      <w:r w:rsidR="00D6329B">
        <w:rPr>
          <w:sz w:val="20"/>
          <w:szCs w:val="20"/>
        </w:rPr>
        <w:t>.</w:t>
      </w:r>
      <w:r>
        <w:rPr>
          <w:sz w:val="20"/>
          <w:szCs w:val="20"/>
        </w:rPr>
        <w:t xml:space="preserve">  </w:t>
      </w:r>
      <w:r w:rsidR="00B965FD" w:rsidRPr="00B965FD">
        <w:rPr>
          <w:rStyle w:val="Hipervnculo"/>
          <w:sz w:val="20"/>
          <w:szCs w:val="20"/>
        </w:rPr>
        <w:t>http://ec.europa.eu/eurostat/documents/38595 98/6651706/KS‐GQ‐15‐003‐EN‐N.pdf</w:t>
      </w:r>
      <w:r w:rsidR="00B965FD">
        <w:t xml:space="preserve">   </w:t>
      </w:r>
      <w:r>
        <w:rPr>
          <w:sz w:val="20"/>
          <w:szCs w:val="20"/>
        </w:rPr>
        <w:t xml:space="preserve"> </w:t>
      </w:r>
    </w:p>
    <w:p w14:paraId="551C97CC" w14:textId="07576D21" w:rsidR="00335E4E" w:rsidRPr="004C7FA7" w:rsidRDefault="007976EB" w:rsidP="004C7FA7">
      <w:pPr>
        <w:pStyle w:val="Prrafodelista"/>
        <w:numPr>
          <w:ilvl w:val="0"/>
          <w:numId w:val="10"/>
        </w:numPr>
        <w:spacing w:after="0"/>
        <w:ind w:left="709"/>
        <w:rPr>
          <w:sz w:val="20"/>
          <w:szCs w:val="20"/>
        </w:rPr>
      </w:pPr>
      <w:r w:rsidRPr="007976EB">
        <w:rPr>
          <w:sz w:val="20"/>
          <w:szCs w:val="20"/>
        </w:rPr>
        <w:t>Office for National Statistics, UK.</w:t>
      </w:r>
      <w:r>
        <w:rPr>
          <w:sz w:val="20"/>
          <w:szCs w:val="20"/>
        </w:rPr>
        <w:t xml:space="preserve"> </w:t>
      </w:r>
      <w:r w:rsidRPr="007976EB">
        <w:rPr>
          <w:sz w:val="20"/>
          <w:szCs w:val="20"/>
        </w:rPr>
        <w:t>Guidelines for Measuring</w:t>
      </w:r>
      <w:r>
        <w:rPr>
          <w:sz w:val="20"/>
          <w:szCs w:val="20"/>
        </w:rPr>
        <w:t xml:space="preserve"> </w:t>
      </w:r>
      <w:r w:rsidRPr="007976EB">
        <w:rPr>
          <w:sz w:val="20"/>
          <w:szCs w:val="20"/>
        </w:rPr>
        <w:t xml:space="preserve">Statistical Output Quality. 2013. </w:t>
      </w:r>
      <w:r w:rsidR="00D6329B">
        <w:rPr>
          <w:sz w:val="20"/>
          <w:szCs w:val="20"/>
        </w:rPr>
        <w:t xml:space="preserve">Página </w:t>
      </w:r>
      <w:r w:rsidR="00B965FD">
        <w:rPr>
          <w:sz w:val="20"/>
          <w:szCs w:val="20"/>
        </w:rPr>
        <w:t>20</w:t>
      </w:r>
      <w:r w:rsidR="00D6329B">
        <w:rPr>
          <w:sz w:val="20"/>
          <w:szCs w:val="20"/>
        </w:rPr>
        <w:t>.</w:t>
      </w:r>
      <w:r>
        <w:rPr>
          <w:sz w:val="20"/>
          <w:szCs w:val="20"/>
        </w:rPr>
        <w:t xml:space="preserve"> </w:t>
      </w:r>
      <w:hyperlink r:id="rId5" w:history="1">
        <w:r w:rsidR="00B965FD" w:rsidRPr="0064364A">
          <w:rPr>
            <w:rStyle w:val="Hipervnculo"/>
          </w:rPr>
          <w:t>https://www.statisticsauthority.gov.uk/wpcontent/uploads/2017/01/Guidelines‐forMeasuring‐Statistical‐Outputs‐Quality.pdf</w:t>
        </w:r>
      </w:hyperlink>
      <w:r w:rsidR="00B965FD">
        <w:t xml:space="preserve"> </w:t>
      </w:r>
    </w:p>
    <w:p w14:paraId="0F0DD2D4" w14:textId="539F57C4" w:rsidR="009935FA" w:rsidRDefault="007976EB" w:rsidP="004C7FA7">
      <w:pPr>
        <w:pStyle w:val="Prrafodelista"/>
        <w:numPr>
          <w:ilvl w:val="0"/>
          <w:numId w:val="10"/>
        </w:numPr>
        <w:spacing w:after="0"/>
        <w:ind w:left="709"/>
        <w:rPr>
          <w:sz w:val="20"/>
          <w:szCs w:val="20"/>
        </w:rPr>
      </w:pPr>
      <w:r w:rsidRPr="007976EB">
        <w:rPr>
          <w:sz w:val="20"/>
          <w:szCs w:val="20"/>
        </w:rPr>
        <w:t>United Nations Economic Commission for Europe (UNECE)</w:t>
      </w:r>
      <w:r w:rsidR="009935FA">
        <w:rPr>
          <w:sz w:val="20"/>
          <w:szCs w:val="20"/>
        </w:rPr>
        <w:t>.</w:t>
      </w:r>
      <w:r>
        <w:rPr>
          <w:sz w:val="20"/>
          <w:szCs w:val="20"/>
        </w:rPr>
        <w:t xml:space="preserve"> </w:t>
      </w:r>
      <w:r w:rsidR="006462C4" w:rsidRPr="006462C4">
        <w:rPr>
          <w:sz w:val="20"/>
          <w:szCs w:val="20"/>
        </w:rPr>
        <w:t>Quality Indicators for the Generic Statistical Business Process Model (GSBPM) ‐ For Statistics derived from Surveys and Administrative Data Sources. 2017</w:t>
      </w:r>
      <w:r w:rsidRPr="007976EB">
        <w:rPr>
          <w:sz w:val="20"/>
          <w:szCs w:val="20"/>
        </w:rPr>
        <w:t>.</w:t>
      </w:r>
      <w:r w:rsidR="004C7FA7">
        <w:rPr>
          <w:sz w:val="20"/>
          <w:szCs w:val="20"/>
        </w:rPr>
        <w:t xml:space="preserve"> </w:t>
      </w:r>
      <w:r w:rsidR="00D6329B">
        <w:rPr>
          <w:sz w:val="20"/>
          <w:szCs w:val="20"/>
        </w:rPr>
        <w:t xml:space="preserve">Páginas </w:t>
      </w:r>
      <w:r w:rsidR="00B965FD">
        <w:rPr>
          <w:sz w:val="20"/>
          <w:szCs w:val="20"/>
        </w:rPr>
        <w:t>14, 22-24, 27, 57-58</w:t>
      </w:r>
      <w:r w:rsidR="00D6329B">
        <w:rPr>
          <w:sz w:val="20"/>
          <w:szCs w:val="20"/>
        </w:rPr>
        <w:t>.</w:t>
      </w:r>
    </w:p>
    <w:p w14:paraId="48907399" w14:textId="11FB1241" w:rsidR="006462C4" w:rsidRPr="00B965FD" w:rsidRDefault="00B965FD" w:rsidP="006462C4">
      <w:pPr>
        <w:pStyle w:val="Prrafodelista"/>
        <w:spacing w:after="0"/>
        <w:ind w:left="709"/>
        <w:rPr>
          <w:rStyle w:val="Hipervnculo"/>
        </w:rPr>
      </w:pPr>
      <w:r w:rsidRPr="00B965FD">
        <w:rPr>
          <w:rStyle w:val="Hipervnculo"/>
        </w:rPr>
        <w:lastRenderedPageBreak/>
        <w:t xml:space="preserve">https://statswiki.unece.org/download/attachments/114394087/Quality%20Indicators%20for%20 the%20GSBPM%20%20For%20Statistics%20derived%20from%20Sur veys%20and%20Administrative%20Data%20Sour ces_Final.pdf?api=v </w:t>
      </w:r>
      <w:r w:rsidR="00D6329B" w:rsidRPr="00B965FD">
        <w:rPr>
          <w:rStyle w:val="Hipervnculo"/>
        </w:rPr>
        <w:t xml:space="preserve"> </w:t>
      </w:r>
      <w:r w:rsidR="006462C4" w:rsidRPr="00B965FD">
        <w:rPr>
          <w:rStyle w:val="Hipervnculo"/>
        </w:rPr>
        <w:t xml:space="preserve"> </w:t>
      </w:r>
    </w:p>
    <w:p w14:paraId="60BDC0B2" w14:textId="77777777" w:rsidR="007976EB" w:rsidRPr="00E60F03" w:rsidRDefault="007976EB" w:rsidP="007976EB">
      <w:pPr>
        <w:pStyle w:val="Prrafodelista"/>
        <w:spacing w:after="0"/>
        <w:ind w:left="1080"/>
        <w:rPr>
          <w:sz w:val="20"/>
          <w:szCs w:val="20"/>
        </w:rPr>
      </w:pPr>
    </w:p>
    <w:p w14:paraId="5E2D69CE" w14:textId="32912E20" w:rsidR="00E60F03" w:rsidRDefault="002954E7"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7CB4746B" w:rsidR="00464252" w:rsidRPr="00464252" w:rsidRDefault="00B965FD" w:rsidP="00A50F8D">
      <w:pPr>
        <w:pStyle w:val="Prrafodelista"/>
        <w:spacing w:after="0"/>
        <w:ind w:left="360"/>
        <w:rPr>
          <w:sz w:val="20"/>
          <w:szCs w:val="20"/>
        </w:rPr>
      </w:pPr>
      <w:r>
        <w:rPr>
          <w:sz w:val="20"/>
          <w:szCs w:val="20"/>
        </w:rPr>
        <w:t>Gonzalo Pérez de la Cruz, director de área en la Coordinación de Asesores.</w:t>
      </w:r>
    </w:p>
    <w:p w14:paraId="06891234" w14:textId="77777777" w:rsidR="00E60F03" w:rsidRDefault="00E60F03" w:rsidP="00E60F03">
      <w:pPr>
        <w:pStyle w:val="Prrafodelista"/>
        <w:spacing w:after="0"/>
        <w:ind w:left="360"/>
        <w:rPr>
          <w:b/>
          <w:bCs/>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1C8D8958" w:rsidR="00100E12" w:rsidRDefault="00B965FD" w:rsidP="00B965FD">
      <w:pPr>
        <w:pStyle w:val="Prrafodelista"/>
        <w:spacing w:after="0"/>
        <w:ind w:left="360"/>
        <w:jc w:val="both"/>
        <w:rPr>
          <w:sz w:val="20"/>
          <w:szCs w:val="20"/>
        </w:rPr>
      </w:pPr>
      <w:r>
        <w:rPr>
          <w:sz w:val="20"/>
          <w:szCs w:val="20"/>
        </w:rPr>
        <w:t>26</w:t>
      </w:r>
      <w:r w:rsidR="00100E12" w:rsidRPr="00100E12">
        <w:rPr>
          <w:sz w:val="20"/>
          <w:szCs w:val="20"/>
        </w:rPr>
        <w:t>/</w:t>
      </w:r>
      <w:r w:rsidR="00B53AEC">
        <w:rPr>
          <w:sz w:val="20"/>
          <w:szCs w:val="20"/>
        </w:rPr>
        <w:t>0</w:t>
      </w:r>
      <w:r>
        <w:rPr>
          <w:sz w:val="20"/>
          <w:szCs w:val="20"/>
        </w:rPr>
        <w:t>4</w:t>
      </w:r>
      <w:r w:rsidR="00100E12" w:rsidRPr="00100E12">
        <w:rPr>
          <w:sz w:val="20"/>
          <w:szCs w:val="20"/>
        </w:rPr>
        <w:t>/201</w:t>
      </w:r>
      <w:r w:rsidR="00B53AEC">
        <w:rPr>
          <w:sz w:val="20"/>
          <w:szCs w:val="20"/>
        </w:rPr>
        <w:t>8</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5AA73B41" w14:textId="77777777" w:rsidR="00FE5872" w:rsidRDefault="00FE5872"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81A440E"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sidR="007E42EE">
        <w:rPr>
          <w:rFonts w:ascii="Calibri" w:eastAsia="Times New Roman" w:hAnsi="Calibri" w:cs="Calibri"/>
          <w:color w:val="000000"/>
          <w:kern w:val="0"/>
          <w:sz w:val="20"/>
          <w:szCs w:val="20"/>
          <w:lang w:eastAsia="es-MX"/>
          <w14:ligatures w14:val="none"/>
        </w:rPr>
        <w:t>, encuesta probabilística</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44A4824C" w14:textId="497CF9E1" w:rsidR="00B965FD" w:rsidRP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965FD">
        <w:rPr>
          <w:rFonts w:ascii="Calibri" w:eastAsia="Times New Roman" w:hAnsi="Calibri" w:cs="Calibri"/>
          <w:color w:val="000000"/>
          <w:kern w:val="0"/>
          <w:sz w:val="20"/>
          <w:szCs w:val="20"/>
          <w:lang w:eastAsia="es-MX"/>
          <w14:ligatures w14:val="none"/>
        </w:rPr>
        <w:t xml:space="preserve">Los problemas de cobertura en los </w:t>
      </w:r>
      <w:r w:rsidR="00E20DC8">
        <w:rPr>
          <w:rFonts w:ascii="Calibri" w:eastAsia="Times New Roman" w:hAnsi="Calibri" w:cs="Calibri"/>
          <w:color w:val="000000"/>
          <w:kern w:val="0"/>
          <w:sz w:val="20"/>
          <w:szCs w:val="20"/>
          <w:lang w:eastAsia="es-MX"/>
          <w14:ligatures w14:val="none"/>
        </w:rPr>
        <w:t>p</w:t>
      </w:r>
      <w:r w:rsidRPr="00B965FD">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cesos de </w:t>
      </w:r>
      <w:r w:rsidR="00E20DC8">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965FD">
        <w:rPr>
          <w:rFonts w:ascii="Calibri" w:eastAsia="Times New Roman" w:hAnsi="Calibri" w:cs="Calibri"/>
          <w:color w:val="000000"/>
          <w:kern w:val="0"/>
          <w:sz w:val="20"/>
          <w:szCs w:val="20"/>
          <w:lang w:eastAsia="es-MX"/>
          <w14:ligatures w14:val="none"/>
        </w:rPr>
        <w:t xml:space="preserve"> están relacionados con la diferencia entre la población objetivo y la población a la cual se puede acceder a través del marco de referencia que se usará, ya sea que este marco se use directamente para generar las estadísticas o como base para seleccionar una muestra con la que se generarán estimaciones. La población objetivo es el conjunto de unidades de observación con características bien definidas ‐entre las cuales se encuentra un periodo de tiempo determinado‐ en las cuales se desea realizar mediciones o estimaciones. Por otro lado, el marco de referencia para cada </w:t>
      </w:r>
      <w:r w:rsidR="00E20DC8">
        <w:rPr>
          <w:rFonts w:ascii="Calibri" w:eastAsia="Times New Roman" w:hAnsi="Calibri" w:cs="Calibri"/>
          <w:color w:val="000000"/>
          <w:kern w:val="0"/>
          <w:sz w:val="20"/>
          <w:szCs w:val="20"/>
          <w:lang w:eastAsia="es-MX"/>
          <w14:ligatures w14:val="none"/>
        </w:rPr>
        <w:t>p</w:t>
      </w:r>
      <w:r w:rsidRPr="00B965FD">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0DC8">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965FD">
        <w:rPr>
          <w:rFonts w:ascii="Calibri" w:eastAsia="Times New Roman" w:hAnsi="Calibri" w:cs="Calibri"/>
          <w:color w:val="000000"/>
          <w:kern w:val="0"/>
          <w:sz w:val="20"/>
          <w:szCs w:val="20"/>
          <w:lang w:eastAsia="es-MX"/>
          <w14:ligatures w14:val="none"/>
        </w:rPr>
        <w:t xml:space="preserve"> de Información se define o crea con el objetivo de tener acceso a la población objetivo y es un listado de un conjunto de unidades de observación; en donde estas unidades de observación podrían corresponder de acuerdo a ciertas caracter</w:t>
      </w:r>
      <w:r w:rsidR="00A02387">
        <w:rPr>
          <w:rFonts w:ascii="Calibri" w:eastAsia="Times New Roman" w:hAnsi="Calibri" w:cs="Calibri"/>
          <w:color w:val="000000"/>
          <w:kern w:val="0"/>
          <w:sz w:val="20"/>
          <w:szCs w:val="20"/>
          <w:lang w:eastAsia="es-MX"/>
          <w14:ligatures w14:val="none"/>
        </w:rPr>
        <w:t>í</w:t>
      </w:r>
      <w:r w:rsidRPr="00B965FD">
        <w:rPr>
          <w:rFonts w:ascii="Calibri" w:eastAsia="Times New Roman" w:hAnsi="Calibri" w:cs="Calibri"/>
          <w:color w:val="000000"/>
          <w:kern w:val="0"/>
          <w:sz w:val="20"/>
          <w:szCs w:val="20"/>
          <w:lang w:eastAsia="es-MX"/>
          <w14:ligatures w14:val="none"/>
        </w:rPr>
        <w:t>sticas generales a las unidades que conforman a la población objetivo (viviendas, hogares, personas, unidades ec</w:t>
      </w:r>
      <w:r w:rsidR="00A02387">
        <w:rPr>
          <w:rFonts w:ascii="Calibri" w:eastAsia="Times New Roman" w:hAnsi="Calibri" w:cs="Calibri"/>
          <w:color w:val="000000"/>
          <w:kern w:val="0"/>
          <w:sz w:val="20"/>
          <w:szCs w:val="20"/>
          <w:lang w:eastAsia="es-MX"/>
          <w14:ligatures w14:val="none"/>
        </w:rPr>
        <w:t>o</w:t>
      </w:r>
      <w:r w:rsidRPr="00B965FD">
        <w:rPr>
          <w:rFonts w:ascii="Calibri" w:eastAsia="Times New Roman" w:hAnsi="Calibri" w:cs="Calibri"/>
          <w:color w:val="000000"/>
          <w:kern w:val="0"/>
          <w:sz w:val="20"/>
          <w:szCs w:val="20"/>
          <w:lang w:eastAsia="es-MX"/>
          <w14:ligatures w14:val="none"/>
        </w:rPr>
        <w:t>n</w:t>
      </w:r>
      <w:r w:rsidR="00A02387">
        <w:rPr>
          <w:rFonts w:ascii="Calibri" w:eastAsia="Times New Roman" w:hAnsi="Calibri" w:cs="Calibri"/>
          <w:color w:val="000000"/>
          <w:kern w:val="0"/>
          <w:sz w:val="20"/>
          <w:szCs w:val="20"/>
          <w:lang w:eastAsia="es-MX"/>
          <w14:ligatures w14:val="none"/>
        </w:rPr>
        <w:t>ó</w:t>
      </w:r>
      <w:r w:rsidRPr="00B965FD">
        <w:rPr>
          <w:rFonts w:ascii="Calibri" w:eastAsia="Times New Roman" w:hAnsi="Calibri" w:cs="Calibri"/>
          <w:color w:val="000000"/>
          <w:kern w:val="0"/>
          <w:sz w:val="20"/>
          <w:szCs w:val="20"/>
          <w:lang w:eastAsia="es-MX"/>
          <w14:ligatures w14:val="none"/>
        </w:rPr>
        <w:t>micas), o bien ser unidades de observación que contienen a la población objetivo y forman una partición de ésta. En el caso ideal, el marco de referencia está al menos al mismo nivel que la población objetivo.</w:t>
      </w:r>
    </w:p>
    <w:p w14:paraId="762768D6" w14:textId="77777777" w:rsidR="00B965FD" w:rsidRP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60EDC1AB" w14:textId="21BCABB6" w:rsid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965FD">
        <w:rPr>
          <w:rFonts w:ascii="Calibri" w:eastAsia="Times New Roman" w:hAnsi="Calibri" w:cs="Calibri"/>
          <w:color w:val="000000"/>
          <w:kern w:val="0"/>
          <w:sz w:val="20"/>
          <w:szCs w:val="20"/>
          <w:lang w:eastAsia="es-MX"/>
          <w14:ligatures w14:val="none"/>
        </w:rPr>
        <w:t xml:space="preserve">Los problemas de cobertura se deberían medir a nivel de la población objetivo del </w:t>
      </w:r>
      <w:r w:rsidR="00E20DC8">
        <w:rPr>
          <w:rFonts w:ascii="Calibri" w:eastAsia="Times New Roman" w:hAnsi="Calibri" w:cs="Calibri"/>
          <w:color w:val="000000"/>
          <w:kern w:val="0"/>
          <w:sz w:val="20"/>
          <w:szCs w:val="20"/>
          <w:lang w:eastAsia="es-MX"/>
          <w14:ligatures w14:val="none"/>
        </w:rPr>
        <w:t>p</w:t>
      </w:r>
      <w:r w:rsidRPr="00B965FD">
        <w:rPr>
          <w:rFonts w:ascii="Calibri" w:eastAsia="Times New Roman" w:hAnsi="Calibri" w:cs="Calibri"/>
          <w:color w:val="000000"/>
          <w:kern w:val="0"/>
          <w:sz w:val="20"/>
          <w:szCs w:val="20"/>
          <w:lang w:eastAsia="es-MX"/>
          <w14:ligatures w14:val="none"/>
        </w:rPr>
        <w:t>ro</w:t>
      </w:r>
      <w:r w:rsidR="00A02387">
        <w:rPr>
          <w:rFonts w:ascii="Calibri" w:eastAsia="Times New Roman" w:hAnsi="Calibri" w:cs="Calibri"/>
          <w:color w:val="000000"/>
          <w:kern w:val="0"/>
          <w:sz w:val="20"/>
          <w:szCs w:val="20"/>
          <w:lang w:eastAsia="es-MX"/>
          <w14:ligatures w14:val="none"/>
        </w:rPr>
        <w:t xml:space="preserve">ceso de </w:t>
      </w:r>
      <w:r w:rsidR="00E20DC8">
        <w:rPr>
          <w:rFonts w:ascii="Calibri" w:eastAsia="Times New Roman" w:hAnsi="Calibri" w:cs="Calibri"/>
          <w:color w:val="000000"/>
          <w:kern w:val="0"/>
          <w:sz w:val="20"/>
          <w:szCs w:val="20"/>
          <w:lang w:eastAsia="es-MX"/>
          <w14:ligatures w14:val="none"/>
        </w:rPr>
        <w:t>p</w:t>
      </w:r>
      <w:r w:rsidR="00A02387">
        <w:rPr>
          <w:rFonts w:ascii="Calibri" w:eastAsia="Times New Roman" w:hAnsi="Calibri" w:cs="Calibri"/>
          <w:color w:val="000000"/>
          <w:kern w:val="0"/>
          <w:sz w:val="20"/>
          <w:szCs w:val="20"/>
          <w:lang w:eastAsia="es-MX"/>
          <w14:ligatures w14:val="none"/>
        </w:rPr>
        <w:t>roducción</w:t>
      </w:r>
      <w:r w:rsidRPr="00B965FD">
        <w:rPr>
          <w:rFonts w:ascii="Calibri" w:eastAsia="Times New Roman" w:hAnsi="Calibri" w:cs="Calibri"/>
          <w:color w:val="000000"/>
          <w:kern w:val="0"/>
          <w:sz w:val="20"/>
          <w:szCs w:val="20"/>
          <w:lang w:eastAsia="es-MX"/>
          <w14:ligatures w14:val="none"/>
        </w:rPr>
        <w:t>. Los dos problemas de cobertura que comúnmente se revisan son los siguientes:</w:t>
      </w:r>
    </w:p>
    <w:p w14:paraId="6A51C5F2" w14:textId="77777777" w:rsidR="00A02387" w:rsidRPr="00B965FD" w:rsidRDefault="00A02387"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1C2B9491" w14:textId="77777777" w:rsid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965FD">
        <w:rPr>
          <w:rFonts w:ascii="Calibri" w:eastAsia="Times New Roman" w:hAnsi="Calibri" w:cs="Calibri"/>
          <w:color w:val="000000"/>
          <w:kern w:val="0"/>
          <w:sz w:val="20"/>
          <w:szCs w:val="20"/>
          <w:lang w:eastAsia="es-MX"/>
          <w14:ligatures w14:val="none"/>
        </w:rPr>
        <w:t>Subcobertura. Cuando en el marco de referencia no se encuentra o no se puede tener acceso a la población perteneciente a la población objetivo.</w:t>
      </w:r>
    </w:p>
    <w:p w14:paraId="1CB9F3D8" w14:textId="77777777" w:rsidR="00A02387" w:rsidRPr="00B965FD" w:rsidRDefault="00A02387"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4EEF312D" w14:textId="77777777" w:rsidR="00B965FD" w:rsidRP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965FD">
        <w:rPr>
          <w:rFonts w:ascii="Calibri" w:eastAsia="Times New Roman" w:hAnsi="Calibri" w:cs="Calibri"/>
          <w:color w:val="000000"/>
          <w:kern w:val="0"/>
          <w:sz w:val="20"/>
          <w:szCs w:val="20"/>
          <w:lang w:eastAsia="es-MX"/>
          <w14:ligatures w14:val="none"/>
        </w:rPr>
        <w:t>Sobrecobertura. Cuando en el marco de referencia se encuentra población que no pertenece a la población objetivo.</w:t>
      </w:r>
    </w:p>
    <w:p w14:paraId="493E7585" w14:textId="77777777" w:rsidR="00B965FD" w:rsidRPr="00B965FD" w:rsidRDefault="00B965FD" w:rsidP="00B965FD">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76FE7674" w14:textId="24CC6A68" w:rsidR="0097395E" w:rsidRDefault="00B965FD" w:rsidP="00B965FD">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r w:rsidRPr="00B965FD">
        <w:rPr>
          <w:rFonts w:ascii="Calibri" w:eastAsia="Times New Roman" w:hAnsi="Calibri" w:cs="Calibri"/>
          <w:color w:val="000000"/>
          <w:kern w:val="0"/>
          <w:sz w:val="20"/>
          <w:szCs w:val="20"/>
          <w:lang w:eastAsia="es-MX"/>
          <w14:ligatures w14:val="none"/>
        </w:rPr>
        <w:t xml:space="preserve">Esta ficha corresponde a un indicador para medir lo correspondiente a la sobrecobertura, en donde se hace el supuesto de que el nivel de las unidades de observación en el marco de referencia coincide con la población objetivo (o que se puede definir una población objetivo al mismo nivel de las unidades de observación), y que la diferencia radica en características particulares. Por ejemplo, tanto la población objetivo como el marco </w:t>
      </w:r>
      <w:r w:rsidRPr="00B965FD">
        <w:rPr>
          <w:rFonts w:ascii="Calibri" w:eastAsia="Times New Roman" w:hAnsi="Calibri" w:cs="Calibri"/>
          <w:color w:val="000000"/>
          <w:kern w:val="0"/>
          <w:sz w:val="20"/>
          <w:szCs w:val="20"/>
          <w:lang w:eastAsia="es-MX"/>
          <w14:ligatures w14:val="none"/>
        </w:rPr>
        <w:lastRenderedPageBreak/>
        <w:t>están a nivel de viviendas, pero la diferencia es que la población objetivo es el conjunto de viviendas habitadas en un determinado periodo de tiempo.</w:t>
      </w:r>
    </w:p>
    <w:p w14:paraId="3EA80744" w14:textId="77777777" w:rsidR="00B53AEC" w:rsidRDefault="00B53AEC"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4A997F6"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calculará según la frecuencia de levantamiento de información de cada pr</w:t>
      </w:r>
      <w:r>
        <w:rPr>
          <w:rFonts w:ascii="Calibri" w:eastAsia="Times New Roman" w:hAnsi="Calibri" w:cs="Calibri"/>
          <w:color w:val="000000"/>
          <w:kern w:val="0"/>
          <w:sz w:val="20"/>
          <w:szCs w:val="20"/>
          <w:lang w:eastAsia="es-MX"/>
          <w14:ligatures w14:val="none"/>
        </w:rPr>
        <w:t>oceso de producción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3EC84D1" w:rsidR="0097395E" w:rsidRPr="0097395E" w:rsidRDefault="00D6329B"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Esta tasa se reportará al mismo tiempo que la publicación de la información de los pro</w:t>
      </w:r>
      <w:r>
        <w:rPr>
          <w:rFonts w:ascii="Calibri" w:eastAsia="Times New Roman" w:hAnsi="Calibri" w:cs="Calibri"/>
          <w:color w:val="000000"/>
          <w:kern w:val="0"/>
          <w:sz w:val="20"/>
          <w:szCs w:val="20"/>
          <w:lang w:eastAsia="es-MX"/>
          <w14:ligatures w14:val="none"/>
        </w:rPr>
        <w:t>cesos de producción</w:t>
      </w:r>
      <w:r w:rsidRPr="00D6329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564D6F0A" w14:textId="03C148C5"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El periodo de referencia es el periodo de levantamiento de la información</w:t>
      </w:r>
      <w:r>
        <w:rPr>
          <w:rFonts w:ascii="Calibri" w:eastAsia="Times New Roman" w:hAnsi="Calibri" w:cs="Calibri"/>
          <w:color w:val="000000"/>
          <w:kern w:val="0"/>
          <w:sz w:val="20"/>
          <w:szCs w:val="20"/>
          <w:lang w:eastAsia="es-MX"/>
          <w14:ligatures w14:val="none"/>
        </w:rPr>
        <w:t>.</w:t>
      </w:r>
    </w:p>
    <w:p w14:paraId="1C8240A0" w14:textId="77777777" w:rsidR="007E42EE" w:rsidRDefault="007E42EE" w:rsidP="007E42E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D64F6F" w14:textId="6F827001" w:rsidR="007E42EE" w:rsidRDefault="007E42E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BEEFFFB" w14:textId="03AE48DD" w:rsid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02387">
        <w:rPr>
          <w:rFonts w:ascii="Calibri" w:eastAsia="Times New Roman" w:hAnsi="Calibri" w:cs="Calibri"/>
          <w:color w:val="000000"/>
          <w:kern w:val="0"/>
          <w:sz w:val="20"/>
          <w:szCs w:val="20"/>
          <w:lang w:eastAsia="es-MX"/>
          <w14:ligatures w14:val="none"/>
        </w:rPr>
        <w:t xml:space="preserve">Se deberán especificar los aspectos siguientes para cada </w:t>
      </w:r>
      <w:r w:rsidR="00E20DC8">
        <w:rPr>
          <w:rFonts w:ascii="Calibri" w:eastAsia="Times New Roman" w:hAnsi="Calibri" w:cs="Calibri"/>
          <w:color w:val="000000"/>
          <w:kern w:val="0"/>
          <w:sz w:val="20"/>
          <w:szCs w:val="20"/>
          <w:lang w:eastAsia="es-MX"/>
          <w14:ligatures w14:val="none"/>
        </w:rPr>
        <w:t>p</w:t>
      </w:r>
      <w:r w:rsidRPr="00A02387">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20DC8">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02387">
        <w:rPr>
          <w:rFonts w:ascii="Calibri" w:eastAsia="Times New Roman" w:hAnsi="Calibri" w:cs="Calibri"/>
          <w:color w:val="000000"/>
          <w:kern w:val="0"/>
          <w:sz w:val="20"/>
          <w:szCs w:val="20"/>
          <w:lang w:eastAsia="es-MX"/>
          <w14:ligatures w14:val="none"/>
        </w:rPr>
        <w:t>:</w:t>
      </w:r>
    </w:p>
    <w:p w14:paraId="5E863340" w14:textId="77777777" w:rsidR="00A02387" w:rsidRP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ADF3333" w14:textId="77777777" w:rsid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02387">
        <w:rPr>
          <w:rFonts w:ascii="Calibri" w:eastAsia="Times New Roman" w:hAnsi="Calibri" w:cs="Calibri"/>
          <w:color w:val="000000"/>
          <w:kern w:val="0"/>
          <w:sz w:val="20"/>
          <w:szCs w:val="20"/>
          <w:lang w:eastAsia="es-MX"/>
          <w14:ligatures w14:val="none"/>
        </w:rPr>
        <w:t>i) La unidad de observación sobre la cual se realizará el cálculo de la tasa de sobrecobertura.</w:t>
      </w:r>
    </w:p>
    <w:p w14:paraId="20108FDF" w14:textId="77777777" w:rsidR="00A02387" w:rsidRP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FBBFE78" w14:textId="77777777" w:rsid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02387">
        <w:rPr>
          <w:rFonts w:ascii="Calibri" w:eastAsia="Times New Roman" w:hAnsi="Calibri" w:cs="Calibri"/>
          <w:color w:val="000000"/>
          <w:kern w:val="0"/>
          <w:sz w:val="20"/>
          <w:szCs w:val="20"/>
          <w:lang w:eastAsia="es-MX"/>
          <w14:ligatures w14:val="none"/>
        </w:rPr>
        <w:t>ii) Los dominios de estudio.</w:t>
      </w:r>
    </w:p>
    <w:p w14:paraId="3E0DCB53" w14:textId="77777777" w:rsidR="00A02387" w:rsidRP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A1E44B9" w14:textId="77777777" w:rsid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02387">
        <w:rPr>
          <w:rFonts w:ascii="Calibri" w:eastAsia="Times New Roman" w:hAnsi="Calibri" w:cs="Calibri"/>
          <w:color w:val="000000"/>
          <w:kern w:val="0"/>
          <w:sz w:val="20"/>
          <w:szCs w:val="20"/>
          <w:lang w:eastAsia="es-MX"/>
          <w14:ligatures w14:val="none"/>
        </w:rPr>
        <w:t>iii) Población objetivo, es decir, la definición detallada de la unidad de observación que hace que pertenezca a la población objetivo.</w:t>
      </w:r>
    </w:p>
    <w:p w14:paraId="0E22EA05" w14:textId="77777777" w:rsidR="00A02387" w:rsidRPr="00A02387"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F46729F" w14:textId="6C788D6B" w:rsidR="007E42EE" w:rsidRPr="007E42EE" w:rsidRDefault="00A02387" w:rsidP="00A0238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02387">
        <w:rPr>
          <w:rFonts w:ascii="Calibri" w:eastAsia="Times New Roman" w:hAnsi="Calibri" w:cs="Calibri"/>
          <w:color w:val="000000"/>
          <w:kern w:val="0"/>
          <w:sz w:val="20"/>
          <w:szCs w:val="20"/>
          <w:lang w:eastAsia="es-MX"/>
          <w14:ligatures w14:val="none"/>
        </w:rPr>
        <w:t>Para el cálculo se asume que el nivel en el que se definen las unidades de observación en el marco coincide con el nivel de las unidades de la población objetivo (o que se puede definir una población objetivo al mismo nivel), es decir, que en ambos casos se habla de unidad económica, vivienda, individuo, etc.</w:t>
      </w:r>
      <w:r w:rsidR="007E42EE" w:rsidRPr="007E42EE">
        <w:rPr>
          <w:rFonts w:ascii="Calibri" w:eastAsia="Times New Roman" w:hAnsi="Calibri" w:cs="Calibri"/>
          <w:color w:val="000000"/>
          <w:kern w:val="0"/>
          <w:sz w:val="20"/>
          <w:szCs w:val="20"/>
          <w:lang w:eastAsia="es-MX"/>
          <w14:ligatures w14:val="none"/>
        </w:rPr>
        <w:t xml:space="preserve">                                                                                             </w:t>
      </w:r>
    </w:p>
    <w:p w14:paraId="637FFFFD" w14:textId="0D5E128A"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18CA75" w14:textId="3BA6B23E" w:rsidR="00A02387" w:rsidRPr="000429A9" w:rsidRDefault="00A02387" w:rsidP="00A02387">
      <w:pPr>
        <w:pStyle w:val="Prrafodelista"/>
        <w:ind w:left="426"/>
        <w:jc w:val="both"/>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Sea</w:t>
      </w:r>
      <w:r w:rsidRPr="000429A9">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U</m:t>
        </m:r>
      </m:oMath>
      <w:r w:rsidRPr="000429A9">
        <w:rPr>
          <w:rFonts w:ascii="Cambria Math" w:eastAsia="Times New Roman" w:hAnsi="Cambria Math" w:cs="Calibri"/>
          <w:i/>
          <w:iCs/>
          <w:color w:val="000000"/>
          <w:kern w:val="0"/>
          <w:sz w:val="18"/>
          <w:szCs w:val="18"/>
          <w:lang w:eastAsia="es-MX"/>
          <w14:ligatures w14:val="none"/>
        </w:rPr>
        <w:t xml:space="preserve"> </w:t>
      </w:r>
      <w:r w:rsidRPr="000429A9">
        <w:rPr>
          <w:rFonts w:ascii="Cambria Math" w:eastAsia="Times New Roman" w:hAnsi="Cambria Math" w:cs="Calibri"/>
          <w:color w:val="000000"/>
          <w:kern w:val="0"/>
          <w:sz w:val="18"/>
          <w:szCs w:val="18"/>
          <w:lang w:eastAsia="es-MX"/>
          <w14:ligatures w14:val="none"/>
        </w:rPr>
        <w:t>el conjunto de todas las unidades de observación en donde se intentó recabar la información (todo el marco o la muestra que se seleccionó) y sea</w:t>
      </w:r>
      <w:r w:rsidRPr="000429A9">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1</m:t>
            </m:r>
          </m:sub>
        </m:sSub>
        <m:r>
          <w:rPr>
            <w:rFonts w:ascii="Cambria Math" w:eastAsia="Times New Roman" w:hAnsi="Cambria Math" w:cs="Calibri"/>
            <w:color w:val="000000"/>
            <w:kern w:val="0"/>
            <w:sz w:val="18"/>
            <w:szCs w:val="18"/>
            <w:lang w:eastAsia="es-MX"/>
            <w14:ligatures w14:val="none"/>
          </w:rPr>
          <m:t>⊑U</m:t>
        </m:r>
      </m:oMath>
      <w:r w:rsidRPr="000429A9">
        <w:rPr>
          <w:rFonts w:ascii="Cambria Math" w:eastAsia="Times New Roman" w:hAnsi="Cambria Math" w:cs="Calibri"/>
          <w:i/>
          <w:iCs/>
          <w:color w:val="000000"/>
          <w:kern w:val="0"/>
          <w:sz w:val="18"/>
          <w:szCs w:val="18"/>
          <w:lang w:eastAsia="es-MX"/>
          <w14:ligatures w14:val="none"/>
        </w:rPr>
        <w:t xml:space="preserve"> </w:t>
      </w:r>
      <w:r w:rsidRPr="000429A9">
        <w:rPr>
          <w:rFonts w:ascii="Cambria Math" w:eastAsia="Times New Roman" w:hAnsi="Cambria Math" w:cs="Calibri"/>
          <w:color w:val="000000"/>
          <w:kern w:val="0"/>
          <w:sz w:val="18"/>
          <w:szCs w:val="18"/>
          <w:lang w:eastAsia="es-MX"/>
          <w14:ligatures w14:val="none"/>
        </w:rPr>
        <w:t>el conjunto compuesto por aquellas unidades de observación que se definen fuera de la población objetivo.</w:t>
      </w:r>
    </w:p>
    <w:p w14:paraId="2E13F58B" w14:textId="77777777" w:rsidR="00A02387" w:rsidRPr="000429A9" w:rsidRDefault="00A02387" w:rsidP="00A02387">
      <w:pPr>
        <w:pStyle w:val="Prrafodelista"/>
        <w:ind w:left="426"/>
        <w:rPr>
          <w:rFonts w:ascii="Cambria Math" w:eastAsia="Times New Roman" w:hAnsi="Cambria Math" w:cs="Calibri"/>
          <w:i/>
          <w:iCs/>
          <w:color w:val="000000"/>
          <w:kern w:val="0"/>
          <w:sz w:val="18"/>
          <w:szCs w:val="18"/>
          <w:lang w:eastAsia="es-MX"/>
          <w14:ligatures w14:val="none"/>
        </w:rPr>
      </w:pPr>
    </w:p>
    <w:p w14:paraId="751BEBE7" w14:textId="46B0888A"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 xml:space="preserve">La tasa de sobrecobertura a nivel unidad de observación para cada dominio de estudio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TS</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C</m:t>
            </m:r>
          </m:e>
          <m:sub>
            <m:r>
              <w:rPr>
                <w:rFonts w:ascii="Cambria Math" w:eastAsia="Times New Roman" w:hAnsi="Cambria Math" w:cs="Calibri"/>
                <w:color w:val="000000"/>
                <w:kern w:val="0"/>
                <w:sz w:val="18"/>
                <w:szCs w:val="18"/>
                <w:lang w:eastAsia="es-MX"/>
                <w14:ligatures w14:val="none"/>
              </w:rPr>
              <m:t>g</m:t>
            </m:r>
          </m:sub>
        </m:sSub>
      </m:oMath>
      <w:r w:rsidRPr="000429A9">
        <w:rPr>
          <w:rFonts w:ascii="Cambria Math" w:eastAsia="Times New Roman" w:hAnsi="Cambria Math" w:cs="Calibri"/>
          <w:color w:val="000000"/>
          <w:kern w:val="0"/>
          <w:sz w:val="18"/>
          <w:szCs w:val="18"/>
          <w:lang w:eastAsia="es-MX"/>
          <w14:ligatures w14:val="none"/>
        </w:rPr>
        <w:t>, se define como:</w:t>
      </w:r>
    </w:p>
    <w:p w14:paraId="4B35F16E" w14:textId="4339E3A9" w:rsidR="00A02387" w:rsidRPr="000429A9" w:rsidRDefault="00000000" w:rsidP="00A02387">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m:t>
              </m:r>
              <m:r>
                <w:rPr>
                  <w:rFonts w:ascii="Cambria Math" w:eastAsia="Times New Roman" w:hAnsi="Cambria Math" w:cs="Calibri"/>
                  <w:color w:val="000000"/>
                  <w:kern w:val="0"/>
                  <w:sz w:val="18"/>
                  <w:szCs w:val="18"/>
                  <w:lang w:eastAsia="es-MX"/>
                  <w14:ligatures w14:val="none"/>
                </w:rPr>
                <m:t>SC</m:t>
              </m:r>
            </m:e>
            <m:sub>
              <m:r>
                <w:rPr>
                  <w:rFonts w:ascii="Cambria Math" w:eastAsia="Times New Roman" w:hAnsi="Cambria Math" w:cs="Calibri"/>
                  <w:color w:val="000000"/>
                  <w:kern w:val="0"/>
                  <w:sz w:val="18"/>
                  <w:szCs w:val="18"/>
                  <w:lang w:val="es-419" w:eastAsia="es-MX"/>
                  <w14:ligatures w14:val="none"/>
                </w:rPr>
                <m:t>g</m:t>
              </m:r>
            </m:sub>
          </m:sSub>
          <m: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i/>
                  <w:iCs/>
                  <w:color w:val="000000"/>
                  <w:kern w:val="0"/>
                  <w:sz w:val="18"/>
                  <w:szCs w:val="18"/>
                  <w:lang w:val="es-419" w:eastAsia="es-MX"/>
                  <w14:ligatures w14:val="none"/>
                </w:rPr>
              </m:ctrlPr>
            </m:fPr>
            <m:num>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1</m:t>
                  </m:r>
                </m:sub>
              </m:sSub>
            </m:num>
            <m:den>
              <m:r>
                <w:rPr>
                  <w:rFonts w:ascii="Cambria Math" w:eastAsia="Times New Roman" w:hAnsi="Cambria Math" w:cs="Calibri"/>
                  <w:color w:val="000000"/>
                  <w:kern w:val="0"/>
                  <w:sz w:val="18"/>
                  <w:szCs w:val="18"/>
                  <w:lang w:val="es-419" w:eastAsia="es-MX"/>
                  <w14:ligatures w14:val="none"/>
                </w:rPr>
                <m:t> </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sub>
              </m:sSub>
            </m:den>
          </m:f>
          <m:r>
            <w:rPr>
              <w:rFonts w:ascii="Cambria Math" w:eastAsia="Times New Roman" w:hAnsi="Cambria Math" w:cs="Calibri"/>
              <w:color w:val="000000"/>
              <w:kern w:val="0"/>
              <w:sz w:val="18"/>
              <w:szCs w:val="18"/>
              <w:lang w:val="es-419" w:eastAsia="es-MX"/>
              <w14:ligatures w14:val="none"/>
            </w:rPr>
            <m:t> ×</m:t>
          </m:r>
          <m:r>
            <w:rPr>
              <w:rFonts w:ascii="Cambria Math" w:eastAsia="Times New Roman" w:hAnsi="Cambria Math" w:cs="Calibri"/>
              <w:color w:val="000000"/>
              <w:kern w:val="0"/>
              <w:sz w:val="18"/>
              <w:szCs w:val="18"/>
              <w:lang w:eastAsia="es-MX"/>
              <w14:ligatures w14:val="none"/>
            </w:rPr>
            <m:t>100</m:t>
          </m:r>
        </m:oMath>
      </m:oMathPara>
    </w:p>
    <w:p w14:paraId="6F7BF42E" w14:textId="2BD6C628"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 xml:space="preserve">donde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sub>
        </m:sSub>
      </m:oMath>
      <w:r w:rsidRPr="000429A9">
        <w:rPr>
          <w:rFonts w:ascii="Cambria Math" w:eastAsia="Times New Roman" w:hAnsi="Cambria Math" w:cs="Calibri"/>
          <w:color w:val="000000"/>
          <w:kern w:val="0"/>
          <w:sz w:val="18"/>
          <w:szCs w:val="18"/>
          <w:lang w:eastAsia="es-MX"/>
          <w14:ligatures w14:val="none"/>
        </w:rPr>
        <w:t xml:space="preserve"> y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1</m:t>
            </m:r>
          </m:sub>
        </m:sSub>
      </m:oMath>
      <w:r w:rsidRPr="000429A9">
        <w:rPr>
          <w:rFonts w:ascii="Cambria Math" w:eastAsia="Times New Roman" w:hAnsi="Cambria Math" w:cs="Calibri"/>
          <w:color w:val="000000"/>
          <w:kern w:val="0"/>
          <w:sz w:val="18"/>
          <w:szCs w:val="18"/>
          <w:lang w:eastAsia="es-MX"/>
          <w14:ligatures w14:val="none"/>
        </w:rPr>
        <w:t xml:space="preserve"> son el número de unidades de observación en el conjunto </w:t>
      </w:r>
      <m:oMath>
        <m:r>
          <w:rPr>
            <w:rFonts w:ascii="Cambria Math" w:eastAsia="Times New Roman" w:hAnsi="Cambria Math" w:cs="Calibri"/>
            <w:color w:val="000000"/>
            <w:kern w:val="0"/>
            <w:sz w:val="18"/>
            <w:szCs w:val="18"/>
            <w:lang w:eastAsia="es-MX"/>
            <w14:ligatures w14:val="none"/>
          </w:rPr>
          <m:t>U</m:t>
        </m:r>
      </m:oMath>
      <w:r w:rsidRPr="000429A9">
        <w:rPr>
          <w:rFonts w:ascii="Cambria Math" w:eastAsia="Times New Roman" w:hAnsi="Cambria Math" w:cs="Calibri"/>
          <w:color w:val="000000"/>
          <w:kern w:val="0"/>
          <w:sz w:val="18"/>
          <w:szCs w:val="18"/>
          <w:lang w:eastAsia="es-MX"/>
          <w14:ligatures w14:val="none"/>
        </w:rPr>
        <w:t xml:space="preserve"> y</w:t>
      </w:r>
      <w:r w:rsidRPr="000429A9">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1</m:t>
            </m:r>
          </m:sub>
        </m:sSub>
      </m:oMath>
      <w:r w:rsidRPr="000429A9">
        <w:rPr>
          <w:rFonts w:ascii="Cambria Math" w:eastAsia="Times New Roman" w:hAnsi="Cambria Math" w:cs="Calibri"/>
          <w:color w:val="000000"/>
          <w:kern w:val="0"/>
          <w:sz w:val="18"/>
          <w:szCs w:val="18"/>
          <w:lang w:eastAsia="es-MX"/>
          <w14:ligatures w14:val="none"/>
        </w:rPr>
        <w:t xml:space="preserve">, respectivamente, que pertenecen al dominio de estudio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color w:val="000000"/>
          <w:kern w:val="0"/>
          <w:sz w:val="18"/>
          <w:szCs w:val="18"/>
          <w:lang w:eastAsia="es-MX"/>
          <w14:ligatures w14:val="none"/>
        </w:rPr>
        <w:t>.</w:t>
      </w:r>
    </w:p>
    <w:p w14:paraId="29161A8A" w14:textId="77777777"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p>
    <w:p w14:paraId="01538625" w14:textId="0303A8A2" w:rsidR="00A02387" w:rsidRPr="000429A9" w:rsidRDefault="00A02387" w:rsidP="00A02387">
      <w:pPr>
        <w:pStyle w:val="Prrafodelista"/>
        <w:ind w:left="426"/>
        <w:jc w:val="both"/>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 xml:space="preserve">En el caso de muestreo probabilístico o de un muestreo no probabilístico basado en el tamaño de alguna variable de diseño también se deberá calcular la versión ponderada de este indicador. En este caso se asume, sin pérdida de generalidad, que para cada dominio de estudio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color w:val="000000"/>
          <w:kern w:val="0"/>
          <w:sz w:val="18"/>
          <w:szCs w:val="18"/>
          <w:lang w:eastAsia="es-MX"/>
          <w14:ligatures w14:val="none"/>
        </w:rPr>
        <w:t>,</w:t>
      </w:r>
      <w:r w:rsidRPr="000429A9">
        <w:rPr>
          <w:rFonts w:ascii="Cambria Math" w:eastAsia="Times New Roman" w:hAnsi="Cambria Math" w:cs="Calibri"/>
          <w:color w:val="000000"/>
          <w:kern w:val="0"/>
          <w:sz w:val="18"/>
          <w:szCs w:val="18"/>
          <w:rtl/>
          <w:lang w:eastAsia="es-MX" w:bidi="syr-SY"/>
          <w14:ligatures w14:val="none"/>
        </w:rPr>
        <w:t xml:space="preserve"> </w:t>
      </w:r>
      <w:r w:rsidRPr="000429A9">
        <w:rPr>
          <w:rFonts w:ascii="Cambria Math" w:eastAsia="Times New Roman" w:hAnsi="Cambria Math" w:cs="Calibri"/>
          <w:color w:val="000000"/>
          <w:kern w:val="0"/>
          <w:sz w:val="18"/>
          <w:szCs w:val="18"/>
          <w:lang w:eastAsia="es-MX"/>
          <w14:ligatures w14:val="none"/>
        </w:rPr>
        <w:t xml:space="preserve">las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sub>
        </m:sSub>
      </m:oMath>
      <w:r w:rsidRPr="000429A9">
        <w:rPr>
          <w:rFonts w:ascii="Cambria Math" w:eastAsia="Times New Roman" w:hAnsi="Cambria Math" w:cs="Calibri"/>
          <w:color w:val="000000"/>
          <w:kern w:val="0"/>
          <w:sz w:val="18"/>
          <w:szCs w:val="18"/>
          <w:lang w:eastAsia="es-MX"/>
          <w14:ligatures w14:val="none"/>
        </w:rPr>
        <w:t xml:space="preserve"> unidades de observación en </w:t>
      </w:r>
      <m:oMath>
        <m:r>
          <w:rPr>
            <w:rFonts w:ascii="Cambria Math" w:eastAsia="Times New Roman" w:hAnsi="Cambria Math" w:cs="Calibri"/>
            <w:color w:val="000000"/>
            <w:kern w:val="0"/>
            <w:sz w:val="18"/>
            <w:szCs w:val="18"/>
            <w:lang w:eastAsia="es-MX"/>
            <w14:ligatures w14:val="none"/>
          </w:rPr>
          <m:t>U</m:t>
        </m:r>
      </m:oMath>
      <w:r w:rsidRPr="000429A9">
        <w:rPr>
          <w:rFonts w:ascii="Cambria Math" w:eastAsia="Times New Roman" w:hAnsi="Cambria Math" w:cs="Calibri"/>
          <w:color w:val="000000"/>
          <w:kern w:val="0"/>
          <w:sz w:val="18"/>
          <w:szCs w:val="18"/>
          <w:lang w:eastAsia="es-MX"/>
          <w14:ligatures w14:val="none"/>
        </w:rPr>
        <w:t xml:space="preserve"> que pertenecen a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color w:val="000000"/>
          <w:kern w:val="0"/>
          <w:sz w:val="18"/>
          <w:szCs w:val="18"/>
          <w:lang w:eastAsia="es-MX"/>
          <w14:ligatures w14:val="none"/>
        </w:rPr>
        <w:t xml:space="preserve"> tienen asociados los subíndices entre 1 y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sub>
        </m:sSub>
      </m:oMath>
      <w:r w:rsidRPr="000429A9">
        <w:rPr>
          <w:rFonts w:ascii="Cambria Math" w:eastAsia="Times New Roman" w:hAnsi="Cambria Math" w:cs="Calibri"/>
          <w:color w:val="000000"/>
          <w:kern w:val="0"/>
          <w:sz w:val="18"/>
          <w:szCs w:val="18"/>
          <w:lang w:eastAsia="es-MX"/>
          <w14:ligatures w14:val="none"/>
        </w:rPr>
        <w:t xml:space="preserve"> de manera que los primeros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1</m:t>
            </m:r>
          </m:sub>
        </m:sSub>
      </m:oMath>
      <w:r w:rsidRPr="000429A9">
        <w:rPr>
          <w:rFonts w:ascii="Cambria Math" w:eastAsia="Times New Roman" w:hAnsi="Cambria Math" w:cs="Calibri"/>
          <w:color w:val="000000"/>
          <w:kern w:val="0"/>
          <w:sz w:val="18"/>
          <w:szCs w:val="18"/>
          <w:lang w:eastAsia="es-MX"/>
          <w14:ligatures w14:val="none"/>
        </w:rPr>
        <w:t xml:space="preserve"> corresponden a unidades en</w:t>
      </w:r>
      <w:r w:rsidRPr="000429A9">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1</m:t>
            </m:r>
          </m:sub>
        </m:sSub>
      </m:oMath>
      <w:r w:rsidRPr="000429A9">
        <w:rPr>
          <w:rFonts w:ascii="Cambria Math" w:eastAsia="Times New Roman" w:hAnsi="Cambria Math" w:cs="Calibri"/>
          <w:color w:val="000000"/>
          <w:kern w:val="0"/>
          <w:sz w:val="18"/>
          <w:szCs w:val="18"/>
          <w:cs/>
          <w:lang w:eastAsia="es-MX" w:bidi="or-IN"/>
          <w14:ligatures w14:val="none"/>
        </w:rPr>
        <w:t xml:space="preserve">. </w:t>
      </w:r>
      <w:r w:rsidRPr="000429A9">
        <w:rPr>
          <w:rFonts w:ascii="Cambria Math" w:eastAsia="Times New Roman" w:hAnsi="Cambria Math" w:cs="Calibri"/>
          <w:color w:val="000000"/>
          <w:kern w:val="0"/>
          <w:sz w:val="18"/>
          <w:szCs w:val="18"/>
          <w:lang w:eastAsia="es-MX"/>
          <w14:ligatures w14:val="none"/>
        </w:rPr>
        <w:t xml:space="preserve">La versión ponderada de este indicador para el dominio de estudio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TS</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C</m:t>
            </m:r>
          </m:e>
          <m:sub>
            <m:r>
              <w:rPr>
                <w:rFonts w:ascii="Cambria Math" w:eastAsia="Times New Roman" w:hAnsi="Cambria Math" w:cs="Calibri"/>
                <w:color w:val="000000"/>
                <w:kern w:val="0"/>
                <w:sz w:val="18"/>
                <w:szCs w:val="18"/>
                <w:lang w:eastAsia="es-MX"/>
                <w14:ligatures w14:val="none"/>
              </w:rPr>
              <m:t>wg</m:t>
            </m:r>
          </m:sub>
        </m:sSub>
      </m:oMath>
      <w:r w:rsidRPr="000429A9">
        <w:rPr>
          <w:rFonts w:ascii="Cambria Math" w:eastAsia="Times New Roman" w:hAnsi="Cambria Math" w:cs="Calibri"/>
          <w:color w:val="000000"/>
          <w:kern w:val="0"/>
          <w:sz w:val="18"/>
          <w:szCs w:val="18"/>
          <w:lang w:eastAsia="es-MX"/>
          <w14:ligatures w14:val="none"/>
        </w:rPr>
        <w:t>, se define como:</w:t>
      </w:r>
    </w:p>
    <w:p w14:paraId="4662650F" w14:textId="77777777" w:rsidR="000429A9" w:rsidRPr="000429A9" w:rsidRDefault="000429A9" w:rsidP="00A02387">
      <w:pPr>
        <w:pStyle w:val="Prrafodelista"/>
        <w:ind w:left="426"/>
        <w:jc w:val="both"/>
        <w:rPr>
          <w:rFonts w:ascii="Cambria Math" w:eastAsia="Times New Roman" w:hAnsi="Cambria Math" w:cs="Calibri"/>
          <w:color w:val="000000"/>
          <w:kern w:val="0"/>
          <w:sz w:val="18"/>
          <w:szCs w:val="18"/>
          <w:lang w:eastAsia="es-MX"/>
          <w14:ligatures w14:val="none"/>
        </w:rPr>
      </w:pPr>
    </w:p>
    <w:p w14:paraId="7C4DEF9C" w14:textId="737E503A" w:rsidR="00A02387" w:rsidRPr="000429A9" w:rsidRDefault="00000000" w:rsidP="00A02387">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m:t>
              </m:r>
              <m:r>
                <w:rPr>
                  <w:rFonts w:ascii="Cambria Math" w:eastAsia="Times New Roman" w:hAnsi="Cambria Math" w:cs="Calibri"/>
                  <w:color w:val="000000"/>
                  <w:kern w:val="0"/>
                  <w:sz w:val="18"/>
                  <w:szCs w:val="18"/>
                  <w:lang w:eastAsia="es-MX"/>
                  <w14:ligatures w14:val="none"/>
                </w:rPr>
                <m:t>SC</m:t>
              </m:r>
            </m:e>
            <m:sub>
              <m:r>
                <w:rPr>
                  <w:rFonts w:ascii="Cambria Math" w:eastAsia="Times New Roman" w:hAnsi="Cambria Math" w:cs="Calibri"/>
                  <w:color w:val="000000"/>
                  <w:kern w:val="0"/>
                  <w:sz w:val="18"/>
                  <w:szCs w:val="18"/>
                  <w:lang w:eastAsia="es-MX"/>
                  <w14:ligatures w14:val="none"/>
                </w:rPr>
                <m:t>w</m:t>
              </m:r>
              <m:r>
                <w:rPr>
                  <w:rFonts w:ascii="Cambria Math" w:eastAsia="Times New Roman" w:hAnsi="Cambria Math" w:cs="Calibri"/>
                  <w:color w:val="000000"/>
                  <w:kern w:val="0"/>
                  <w:sz w:val="18"/>
                  <w:szCs w:val="18"/>
                  <w:lang w:val="es-419" w:eastAsia="es-MX"/>
                  <w14:ligatures w14:val="none"/>
                </w:rPr>
                <m:t>g</m:t>
              </m:r>
            </m:sub>
          </m:sSub>
          <m: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i/>
                  <w:iCs/>
                  <w:color w:val="000000"/>
                  <w:kern w:val="0"/>
                  <w:sz w:val="18"/>
                  <w:szCs w:val="18"/>
                  <w:lang w:val="es-419" w:eastAsia="es-MX"/>
                  <w14:ligatures w14:val="none"/>
                </w:rPr>
              </m:ctrlPr>
            </m:fPr>
            <m:num>
              <m:nary>
                <m:naryPr>
                  <m:chr m:val="∑"/>
                  <m:ctrlPr>
                    <w:rPr>
                      <w:rFonts w:ascii="Cambria Math" w:eastAsia="Times New Roman" w:hAnsi="Cambria Math" w:cs="Calibri"/>
                      <w:i/>
                      <w:iCs/>
                      <w:color w:val="000000"/>
                      <w:kern w:val="0"/>
                      <w:sz w:val="18"/>
                      <w:szCs w:val="18"/>
                      <w:lang w:val="es-419"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1</m:t>
                      </m:r>
                    </m:sub>
                  </m:sSub>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num>
            <m:den>
              <m:nary>
                <m:naryPr>
                  <m:chr m:val="∑"/>
                  <m:ctrlPr>
                    <w:rPr>
                      <w:rFonts w:ascii="Cambria Math" w:eastAsia="Times New Roman" w:hAnsi="Cambria Math" w:cs="Calibri"/>
                      <w:i/>
                      <w:iCs/>
                      <w:color w:val="000000"/>
                      <w:kern w:val="0"/>
                      <w:sz w:val="18"/>
                      <w:szCs w:val="18"/>
                      <w:lang w:val="es-419"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sub>
                  </m:sSub>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den>
          </m:f>
          <m:r>
            <w:rPr>
              <w:rFonts w:ascii="Cambria Math" w:eastAsia="Times New Roman" w:hAnsi="Cambria Math" w:cs="Calibri"/>
              <w:color w:val="000000"/>
              <w:kern w:val="0"/>
              <w:sz w:val="18"/>
              <w:szCs w:val="18"/>
              <w:lang w:val="es-419" w:eastAsia="es-MX"/>
              <w14:ligatures w14:val="none"/>
            </w:rPr>
            <m:t> ×</m:t>
          </m:r>
          <m:r>
            <w:rPr>
              <w:rFonts w:ascii="Cambria Math" w:eastAsia="Times New Roman" w:hAnsi="Cambria Math" w:cs="Calibri"/>
              <w:color w:val="000000"/>
              <w:kern w:val="0"/>
              <w:sz w:val="18"/>
              <w:szCs w:val="18"/>
              <w:lang w:eastAsia="es-MX"/>
              <w14:ligatures w14:val="none"/>
            </w:rPr>
            <m:t>100</m:t>
          </m:r>
        </m:oMath>
      </m:oMathPara>
    </w:p>
    <w:p w14:paraId="00A16F11" w14:textId="77777777"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p>
    <w:p w14:paraId="54EE4063" w14:textId="3A699C64"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Donde:</w:t>
      </w:r>
    </w:p>
    <w:p w14:paraId="5328FFFD" w14:textId="71CF1CFA"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 xml:space="preserve">i) en el caso de muestras probabilísticas,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oMath>
      <w:r w:rsidRPr="000429A9">
        <w:rPr>
          <w:rFonts w:ascii="Cambria Math" w:eastAsia="Times New Roman" w:hAnsi="Cambria Math" w:cs="Calibri"/>
          <w:color w:val="000000"/>
          <w:kern w:val="0"/>
          <w:sz w:val="18"/>
          <w:szCs w:val="18"/>
          <w:lang w:eastAsia="es-MX"/>
          <w14:ligatures w14:val="none"/>
        </w:rPr>
        <w:t xml:space="preserve"> corresponde al factor de expansión original de la unidad </w:t>
      </w:r>
      <m:oMath>
        <m:r>
          <m:rPr>
            <m:sty m:val="p"/>
          </m:rPr>
          <w:rPr>
            <w:rFonts w:ascii="Cambria Math" w:eastAsia="Times New Roman" w:hAnsi="Cambria Math" w:cs="Calibri"/>
            <w:color w:val="000000"/>
            <w:kern w:val="0"/>
            <w:sz w:val="18"/>
            <w:szCs w:val="18"/>
            <w:lang w:eastAsia="es-MX"/>
            <w14:ligatures w14:val="none"/>
          </w:rPr>
          <m:t>n</m:t>
        </m:r>
      </m:oMath>
      <w:r w:rsidRPr="000429A9">
        <w:rPr>
          <w:rFonts w:ascii="Cambria Math" w:eastAsia="Times New Roman" w:hAnsi="Cambria Math" w:cs="Calibri"/>
          <w:color w:val="000000"/>
          <w:kern w:val="0"/>
          <w:sz w:val="18"/>
          <w:szCs w:val="18"/>
          <w:lang w:eastAsia="es-MX"/>
          <w14:ligatures w14:val="none"/>
        </w:rPr>
        <w:t xml:space="preserve"> que pertenece a </w:t>
      </w:r>
      <m:oMath>
        <m:r>
          <w:rPr>
            <w:rFonts w:ascii="Cambria Math" w:eastAsia="Times New Roman" w:hAnsi="Cambria Math" w:cs="Calibri"/>
            <w:color w:val="000000"/>
            <w:kern w:val="0"/>
            <w:sz w:val="18"/>
            <w:szCs w:val="18"/>
            <w:lang w:eastAsia="es-MX"/>
            <w14:ligatures w14:val="none"/>
          </w:rPr>
          <m:t>g</m:t>
        </m:r>
      </m:oMath>
      <w:r w:rsidRPr="000429A9">
        <w:rPr>
          <w:rFonts w:ascii="Cambria Math" w:eastAsia="Times New Roman" w:hAnsi="Cambria Math" w:cs="Calibri"/>
          <w:color w:val="000000"/>
          <w:kern w:val="0"/>
          <w:sz w:val="18"/>
          <w:szCs w:val="18"/>
          <w:lang w:eastAsia="es-MX"/>
          <w14:ligatures w14:val="none"/>
        </w:rPr>
        <w:t xml:space="preserve"> y,</w:t>
      </w:r>
    </w:p>
    <w:p w14:paraId="225B833C" w14:textId="77777777"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p>
    <w:p w14:paraId="66F16792" w14:textId="3BA56538" w:rsidR="00A02387" w:rsidRPr="000429A9" w:rsidRDefault="00A02387" w:rsidP="00A02387">
      <w:pPr>
        <w:pStyle w:val="Prrafodelista"/>
        <w:ind w:left="426"/>
        <w:rPr>
          <w:rFonts w:ascii="Cambria Math" w:eastAsia="Times New Roman" w:hAnsi="Cambria Math" w:cs="Calibri"/>
          <w:color w:val="000000"/>
          <w:kern w:val="0"/>
          <w:sz w:val="18"/>
          <w:szCs w:val="18"/>
          <w:lang w:eastAsia="es-MX"/>
          <w14:ligatures w14:val="none"/>
        </w:rPr>
      </w:pPr>
      <w:r w:rsidRPr="000429A9">
        <w:rPr>
          <w:rFonts w:ascii="Cambria Math" w:eastAsia="Times New Roman" w:hAnsi="Cambria Math" w:cs="Calibri"/>
          <w:color w:val="000000"/>
          <w:kern w:val="0"/>
          <w:sz w:val="18"/>
          <w:szCs w:val="18"/>
          <w:lang w:eastAsia="es-MX"/>
          <w14:ligatures w14:val="none"/>
        </w:rPr>
        <w:t xml:space="preserve">ii) en el caso de muestras no probabilísticas,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0429A9">
        <w:rPr>
          <w:rFonts w:ascii="Cambria Math" w:eastAsia="Times New Roman" w:hAnsi="Cambria Math" w:cs="Calibri"/>
          <w:i/>
          <w:iCs/>
          <w:color w:val="000000"/>
          <w:kern w:val="0"/>
          <w:sz w:val="18"/>
          <w:szCs w:val="18"/>
          <w:lang w:eastAsia="es-MX"/>
          <w14:ligatures w14:val="none"/>
        </w:rPr>
        <w:t xml:space="preserve">, con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0429A9">
        <w:rPr>
          <w:rFonts w:ascii="Cambria Math" w:eastAsia="Times New Roman" w:hAnsi="Cambria Math" w:cs="Calibri"/>
          <w:color w:val="000000"/>
          <w:kern w:val="0"/>
          <w:sz w:val="18"/>
          <w:szCs w:val="18"/>
          <w:lang w:eastAsia="es-MX"/>
          <w14:ligatures w14:val="none"/>
        </w:rPr>
        <w:t xml:space="preserve"> el valor de la variable de diseño </w:t>
      </w:r>
      <m:oMath>
        <m:r>
          <w:rPr>
            <w:rFonts w:ascii="Cambria Math" w:eastAsia="Times New Roman" w:hAnsi="Cambria Math" w:cs="Calibri"/>
            <w:color w:val="000000"/>
            <w:kern w:val="0"/>
            <w:sz w:val="18"/>
            <w:szCs w:val="18"/>
            <w:lang w:eastAsia="es-MX"/>
            <w14:ligatures w14:val="none"/>
          </w:rPr>
          <m:t>X</m:t>
        </m:r>
      </m:oMath>
      <w:r w:rsidRPr="000429A9">
        <w:rPr>
          <w:rFonts w:ascii="Cambria Math" w:eastAsia="Times New Roman" w:hAnsi="Cambria Math" w:cs="Calibri"/>
          <w:color w:val="000000"/>
          <w:kern w:val="0"/>
          <w:sz w:val="18"/>
          <w:szCs w:val="18"/>
          <w:lang w:eastAsia="es-MX"/>
          <w14:ligatures w14:val="none"/>
        </w:rPr>
        <w:t xml:space="preserve">, usada en el esquema determinístico para obtener la muestra, asociado a la unidad </w:t>
      </w:r>
      <m:oMath>
        <m:r>
          <w:rPr>
            <w:rFonts w:ascii="Cambria Math" w:eastAsia="Times New Roman" w:hAnsi="Cambria Math" w:cs="Calibri"/>
            <w:color w:val="000000"/>
            <w:kern w:val="0"/>
            <w:sz w:val="18"/>
            <w:szCs w:val="18"/>
            <w:lang w:eastAsia="es-MX"/>
            <w14:ligatures w14:val="none"/>
          </w:rPr>
          <m:t>n</m:t>
        </m:r>
      </m:oMath>
      <w:r w:rsidRPr="008D482B">
        <w:rPr>
          <w:rFonts w:ascii="Cambria Math" w:eastAsia="Times New Roman" w:hAnsi="Cambria Math" w:cs="Calibri"/>
          <w:i/>
          <w:iCs/>
          <w:color w:val="000000"/>
          <w:kern w:val="0"/>
          <w:sz w:val="18"/>
          <w:szCs w:val="18"/>
          <w:lang w:eastAsia="es-MX"/>
          <w14:ligatures w14:val="none"/>
        </w:rPr>
        <w:t xml:space="preserve"> </w:t>
      </w:r>
      <w:r w:rsidRPr="000429A9">
        <w:rPr>
          <w:rFonts w:ascii="Cambria Math" w:eastAsia="Times New Roman" w:hAnsi="Cambria Math" w:cs="Calibri"/>
          <w:color w:val="000000"/>
          <w:kern w:val="0"/>
          <w:sz w:val="18"/>
          <w:szCs w:val="18"/>
          <w:lang w:eastAsia="es-MX"/>
          <w14:ligatures w14:val="none"/>
        </w:rPr>
        <w:t xml:space="preserve">que pertenece a </w:t>
      </w:r>
      <m:oMath>
        <m:r>
          <w:rPr>
            <w:rFonts w:ascii="Cambria Math" w:eastAsia="Times New Roman" w:hAnsi="Cambria Math" w:cs="Calibri"/>
            <w:color w:val="000000"/>
            <w:kern w:val="0"/>
            <w:sz w:val="18"/>
            <w:szCs w:val="18"/>
            <w:lang w:eastAsia="es-MX"/>
            <w14:ligatures w14:val="none"/>
          </w:rPr>
          <m:t>g.</m:t>
        </m:r>
      </m:oMath>
    </w:p>
    <w:p w14:paraId="00377A75" w14:textId="49CF5F46" w:rsidR="00294AE7" w:rsidRDefault="00294AE7" w:rsidP="0081555F">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w:t>
      </w: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345CF06" w14:textId="6D899A26" w:rsidR="00414818" w:rsidRDefault="00414818"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 xml:space="preserve">Todos los datos se obtienen del </w:t>
      </w:r>
      <w:r w:rsidR="00E20DC8">
        <w:rPr>
          <w:rFonts w:ascii="Calibri" w:eastAsia="Times New Roman" w:hAnsi="Calibri" w:cs="Calibri"/>
          <w:color w:val="000000"/>
          <w:kern w:val="0"/>
          <w:sz w:val="20"/>
          <w:szCs w:val="20"/>
          <w:lang w:eastAsia="es-MX"/>
          <w14:ligatures w14:val="none"/>
        </w:rPr>
        <w:t>p</w:t>
      </w:r>
      <w:r w:rsidRPr="00414818">
        <w:rPr>
          <w:rFonts w:ascii="Calibri" w:eastAsia="Times New Roman" w:hAnsi="Calibri" w:cs="Calibri"/>
          <w:color w:val="000000"/>
          <w:kern w:val="0"/>
          <w:sz w:val="20"/>
          <w:szCs w:val="20"/>
          <w:lang w:eastAsia="es-MX"/>
          <w14:ligatures w14:val="none"/>
        </w:rPr>
        <w:t xml:space="preserve">roceso de </w:t>
      </w:r>
      <w:r w:rsidR="00E20DC8">
        <w:rPr>
          <w:rFonts w:ascii="Calibri" w:eastAsia="Times New Roman" w:hAnsi="Calibri" w:cs="Calibri"/>
          <w:color w:val="000000"/>
          <w:kern w:val="0"/>
          <w:sz w:val="20"/>
          <w:szCs w:val="20"/>
          <w:lang w:eastAsia="es-MX"/>
          <w14:ligatures w14:val="none"/>
        </w:rPr>
        <w:t>p</w:t>
      </w:r>
      <w:r w:rsidRPr="00414818">
        <w:rPr>
          <w:rFonts w:ascii="Calibri" w:eastAsia="Times New Roman" w:hAnsi="Calibri" w:cs="Calibri"/>
          <w:color w:val="000000"/>
          <w:kern w:val="0"/>
          <w:sz w:val="20"/>
          <w:szCs w:val="20"/>
          <w:lang w:eastAsia="es-MX"/>
          <w14:ligatures w14:val="none"/>
        </w:rPr>
        <w:t>roducción y del Marco de Referencia usado.</w:t>
      </w:r>
    </w:p>
    <w:p w14:paraId="3CA2B98D" w14:textId="77777777" w:rsidR="00414818" w:rsidRPr="00414818" w:rsidRDefault="00414818"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22EFA944" w:rsidR="00294AE7" w:rsidRDefault="00414818"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Todos los dominios de estudio.</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AA28A34" w14:textId="0674495D" w:rsidR="00AA1C07" w:rsidRDefault="00414818"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429A9">
        <w:rPr>
          <w:rFonts w:ascii="Calibri" w:eastAsia="Times New Roman" w:hAnsi="Calibri" w:cs="Calibri"/>
          <w:color w:val="000000"/>
          <w:kern w:val="0"/>
          <w:sz w:val="20"/>
          <w:szCs w:val="20"/>
          <w:lang w:eastAsia="es-MX"/>
          <w14:ligatures w14:val="none"/>
        </w:rPr>
        <w:t>La tasa de sobrecobertura se define como el porcentaje de unidades de observación que contiene el marco de referencia que no corresponde a las unidades de la población objetivo. Para el cálculo de este porcentaje se asume que se puede distinguir en el marco de referencia cuando hay población en éste que no pertenece a la población objetivo, por ejemplo, después de las fases de captación y procesamiento se puede definir este aspecto sobre las unidades del marco que fueron observadas (todo el marco o bien la muestra que se seleccionó de éste).</w:t>
      </w:r>
      <w:r w:rsidR="000305A1" w:rsidRPr="000305A1">
        <w:rPr>
          <w:rFonts w:ascii="Calibri" w:eastAsia="Times New Roman" w:hAnsi="Calibri" w:cs="Calibri"/>
          <w:color w:val="000000"/>
          <w:kern w:val="0"/>
          <w:sz w:val="20"/>
          <w:szCs w:val="20"/>
          <w:lang w:eastAsia="es-MX"/>
          <w14:ligatures w14:val="none"/>
        </w:rPr>
        <w:t xml:space="preserve">    </w:t>
      </w:r>
    </w:p>
    <w:p w14:paraId="6D3C76BF" w14:textId="77777777" w:rsidR="00AA1C07" w:rsidRDefault="00AA1C07"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D1E1AFA" w14:textId="77777777" w:rsid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 xml:space="preserve">El indicador se deberá publicar junto con los siguientes aspectos: </w:t>
      </w:r>
    </w:p>
    <w:p w14:paraId="40CFF97A" w14:textId="77777777" w:rsidR="00414818" w:rsidRP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6FDB04D" w14:textId="77777777" w:rsid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 xml:space="preserve">i) La unidad de observación sobre la cual se realiza el cálculo de la tasa de sobrecobertura. </w:t>
      </w:r>
    </w:p>
    <w:p w14:paraId="4A5CC841" w14:textId="77777777" w:rsidR="00414818" w:rsidRP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D615EBF" w14:textId="77777777" w:rsid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 xml:space="preserve">ii) Los dominios de estudio. </w:t>
      </w:r>
    </w:p>
    <w:p w14:paraId="7DA1A35C" w14:textId="77777777" w:rsidR="00414818" w:rsidRP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B7CD16E" w14:textId="77777777" w:rsid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iii) Población objetivo, es decir, la definición detallada de la unidad de observación que hace que pertenezca a la población objetivo.</w:t>
      </w:r>
    </w:p>
    <w:p w14:paraId="01C824F7" w14:textId="77777777" w:rsidR="00414818" w:rsidRPr="00414818"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D8D9A8A" w14:textId="1E7B2F2C" w:rsidR="00C66E9E" w:rsidRPr="00C66E9E" w:rsidRDefault="00414818" w:rsidP="0041481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iv) Marco de Referencia especificando el corte temporal al que corresponde.</w:t>
      </w:r>
      <w:r w:rsidR="00C66E9E" w:rsidRPr="00C66E9E">
        <w:rPr>
          <w:rFonts w:ascii="Calibri" w:eastAsia="Times New Roman" w:hAnsi="Calibri" w:cs="Calibri"/>
          <w:color w:val="000000"/>
          <w:kern w:val="0"/>
          <w:sz w:val="20"/>
          <w:szCs w:val="20"/>
          <w:lang w:eastAsia="es-MX"/>
          <w14:ligatures w14:val="none"/>
        </w:rPr>
        <w:t xml:space="preserve">                                                                                                                                  </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61362F1" w14:textId="52D675FD" w:rsidR="00414818" w:rsidRDefault="00414818" w:rsidP="00414818">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79687BB7" w14:textId="77777777" w:rsidR="00414818" w:rsidRDefault="00414818"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414818">
        <w:rPr>
          <w:rFonts w:ascii="Calibri" w:eastAsia="Times New Roman" w:hAnsi="Calibri" w:cs="Calibri"/>
          <w:color w:val="000000"/>
          <w:kern w:val="0"/>
          <w:sz w:val="20"/>
          <w:szCs w:val="20"/>
          <w:lang w:eastAsia="es-MX"/>
          <w14:ligatures w14:val="none"/>
        </w:rPr>
        <w:t>No se adopta un valor de referencia, sin embargo, valores altos implican una revisión del marco de </w:t>
      </w:r>
    </w:p>
    <w:p w14:paraId="2E2CF87C" w14:textId="4B0E29DA" w:rsidR="00414818" w:rsidRPr="00414818" w:rsidRDefault="00414818"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referencia</w:t>
      </w:r>
      <w:r w:rsidRPr="00414818">
        <w:rPr>
          <w:rFonts w:ascii="Calibri" w:eastAsia="Times New Roman" w:hAnsi="Calibri" w:cs="Calibri"/>
          <w:color w:val="000000"/>
          <w:kern w:val="0"/>
          <w:sz w:val="20"/>
          <w:szCs w:val="20"/>
          <w:lang w:eastAsia="es-MX"/>
          <w14:ligatures w14:val="none"/>
        </w:rPr>
        <w:t>.</w:t>
      </w:r>
    </w:p>
    <w:p w14:paraId="79AFB2BC" w14:textId="77777777" w:rsidR="00FE5872" w:rsidRPr="00414818" w:rsidRDefault="00FE5872"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p>
    <w:sectPr w:rsidR="00FE5872" w:rsidRPr="004148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11282"/>
    <w:multiLevelType w:val="hybridMultilevel"/>
    <w:tmpl w:val="C8B6849E"/>
    <w:lvl w:ilvl="0" w:tplc="A7669E2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800AD7"/>
    <w:multiLevelType w:val="hybridMultilevel"/>
    <w:tmpl w:val="7FB026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1"/>
  </w:num>
  <w:num w:numId="7" w16cid:durableId="1373924067">
    <w:abstractNumId w:val="9"/>
  </w:num>
  <w:num w:numId="8" w16cid:durableId="435561208">
    <w:abstractNumId w:val="10"/>
  </w:num>
  <w:num w:numId="9" w16cid:durableId="1724983717">
    <w:abstractNumId w:val="6"/>
  </w:num>
  <w:num w:numId="10" w16cid:durableId="76486300">
    <w:abstractNumId w:val="4"/>
  </w:num>
  <w:num w:numId="11" w16cid:durableId="672757559">
    <w:abstractNumId w:val="5"/>
  </w:num>
  <w:num w:numId="12" w16cid:durableId="1931692055">
    <w:abstractNumId w:val="8"/>
  </w:num>
  <w:num w:numId="13" w16cid:durableId="50313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305A1"/>
    <w:rsid w:val="000429A9"/>
    <w:rsid w:val="00063F79"/>
    <w:rsid w:val="00100E12"/>
    <w:rsid w:val="00125E0E"/>
    <w:rsid w:val="00186E2E"/>
    <w:rsid w:val="00206D7D"/>
    <w:rsid w:val="00222437"/>
    <w:rsid w:val="00235D6E"/>
    <w:rsid w:val="002529AB"/>
    <w:rsid w:val="0025616E"/>
    <w:rsid w:val="00267B2F"/>
    <w:rsid w:val="00294AE7"/>
    <w:rsid w:val="002954E7"/>
    <w:rsid w:val="002F559F"/>
    <w:rsid w:val="0033224A"/>
    <w:rsid w:val="00335E4E"/>
    <w:rsid w:val="003569FC"/>
    <w:rsid w:val="00361D6E"/>
    <w:rsid w:val="00362EEC"/>
    <w:rsid w:val="00394D4B"/>
    <w:rsid w:val="00414818"/>
    <w:rsid w:val="0042050E"/>
    <w:rsid w:val="00444B20"/>
    <w:rsid w:val="00453A66"/>
    <w:rsid w:val="00464252"/>
    <w:rsid w:val="004836B2"/>
    <w:rsid w:val="004A0D61"/>
    <w:rsid w:val="004C7FA7"/>
    <w:rsid w:val="004D2E5F"/>
    <w:rsid w:val="00597769"/>
    <w:rsid w:val="005D5F63"/>
    <w:rsid w:val="0061336D"/>
    <w:rsid w:val="00634AA4"/>
    <w:rsid w:val="006462C4"/>
    <w:rsid w:val="006B2E16"/>
    <w:rsid w:val="00711025"/>
    <w:rsid w:val="00781821"/>
    <w:rsid w:val="007976EB"/>
    <w:rsid w:val="007B774C"/>
    <w:rsid w:val="007D2115"/>
    <w:rsid w:val="007E42EE"/>
    <w:rsid w:val="0081555F"/>
    <w:rsid w:val="00872EB8"/>
    <w:rsid w:val="008C470B"/>
    <w:rsid w:val="008D482B"/>
    <w:rsid w:val="009510D8"/>
    <w:rsid w:val="009546E7"/>
    <w:rsid w:val="0097395E"/>
    <w:rsid w:val="00984084"/>
    <w:rsid w:val="009935FA"/>
    <w:rsid w:val="00993CAF"/>
    <w:rsid w:val="009F0312"/>
    <w:rsid w:val="00A02387"/>
    <w:rsid w:val="00A50F8D"/>
    <w:rsid w:val="00AA1C07"/>
    <w:rsid w:val="00B53AEC"/>
    <w:rsid w:val="00B965FD"/>
    <w:rsid w:val="00BA26DC"/>
    <w:rsid w:val="00BF4A5C"/>
    <w:rsid w:val="00C66E9E"/>
    <w:rsid w:val="00D14EE5"/>
    <w:rsid w:val="00D274BD"/>
    <w:rsid w:val="00D42E7D"/>
    <w:rsid w:val="00D468DB"/>
    <w:rsid w:val="00D60B25"/>
    <w:rsid w:val="00D6329B"/>
    <w:rsid w:val="00D73C42"/>
    <w:rsid w:val="00DE2869"/>
    <w:rsid w:val="00DF5B40"/>
    <w:rsid w:val="00E20DC8"/>
    <w:rsid w:val="00E60F03"/>
    <w:rsid w:val="00EC4770"/>
    <w:rsid w:val="00EE62C9"/>
    <w:rsid w:val="00EF3947"/>
    <w:rsid w:val="00F37A79"/>
    <w:rsid w:val="00F540C3"/>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isticsauthority.gov.uk/wpcontent/uploads/2017/01/Guidelines&#8208;forMeasuring&#8208;Statistical&#8208;Outputs&#8208;Quality.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4</Pages>
  <Words>1569</Words>
  <Characters>8630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31</cp:revision>
  <dcterms:created xsi:type="dcterms:W3CDTF">2025-07-23T17:19:00Z</dcterms:created>
  <dcterms:modified xsi:type="dcterms:W3CDTF">2025-10-09T17:29:00Z</dcterms:modified>
</cp:coreProperties>
</file>